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26B9" w14:textId="355506A2" w:rsidR="00AF2A17" w:rsidRDefault="00F77026" w:rsidP="00E02A73">
      <w:pPr>
        <w:pBdr>
          <w:top w:val="nil"/>
          <w:left w:val="nil"/>
          <w:bottom w:val="nil"/>
          <w:right w:val="nil"/>
          <w:between w:val="nil"/>
        </w:pBdr>
        <w:rPr>
          <w:rFonts w:ascii="Calibri" w:eastAsia="Calibri" w:hAnsi="Calibri" w:cs="Calibri"/>
          <w:b/>
          <w:sz w:val="44"/>
          <w:szCs w:val="44"/>
        </w:rPr>
      </w:pPr>
      <w:r>
        <w:rPr>
          <w:rFonts w:ascii="Calibri" w:eastAsia="Calibri" w:hAnsi="Calibri" w:cs="Calibri"/>
          <w:b/>
          <w:sz w:val="44"/>
          <w:szCs w:val="44"/>
        </w:rPr>
        <w:t>Cabildo de Fuerteventura y Museos de Tenerife inician una décima excavación en el yacimiento Lobos I</w:t>
      </w:r>
    </w:p>
    <w:p w14:paraId="3E12FB0F" w14:textId="77777777" w:rsidR="00000502" w:rsidRDefault="00000502" w:rsidP="00E02A73">
      <w:pPr>
        <w:pBdr>
          <w:top w:val="nil"/>
          <w:left w:val="nil"/>
          <w:bottom w:val="nil"/>
          <w:right w:val="nil"/>
          <w:between w:val="nil"/>
        </w:pBdr>
        <w:rPr>
          <w:rFonts w:ascii="Calibri" w:eastAsia="Calibri" w:hAnsi="Calibri" w:cs="Calibri"/>
          <w:bCs/>
          <w:i/>
          <w:iCs/>
          <w:sz w:val="26"/>
          <w:szCs w:val="26"/>
        </w:rPr>
      </w:pPr>
    </w:p>
    <w:p w14:paraId="26C62DE7" w14:textId="5A0B4AE5" w:rsidR="00F77026" w:rsidRDefault="00F77026" w:rsidP="00E02A73">
      <w:pPr>
        <w:pBdr>
          <w:top w:val="nil"/>
          <w:left w:val="nil"/>
          <w:bottom w:val="nil"/>
          <w:right w:val="nil"/>
          <w:between w:val="nil"/>
        </w:pBdr>
        <w:rPr>
          <w:rFonts w:ascii="Calibri" w:eastAsia="Calibri" w:hAnsi="Calibri" w:cs="Calibri"/>
          <w:bCs/>
          <w:i/>
          <w:iCs/>
          <w:sz w:val="26"/>
          <w:szCs w:val="26"/>
        </w:rPr>
      </w:pPr>
      <w:r>
        <w:rPr>
          <w:rFonts w:ascii="Calibri" w:eastAsia="Calibri" w:hAnsi="Calibri" w:cs="Calibri"/>
          <w:bCs/>
          <w:i/>
          <w:iCs/>
          <w:sz w:val="26"/>
          <w:szCs w:val="26"/>
        </w:rPr>
        <w:t>Los trabajos buscan definir la extensión del taller de púrpura, con posibles áreas asociadas a la vida cotidiana y la actividad pesquera</w:t>
      </w:r>
    </w:p>
    <w:p w14:paraId="324F06B3" w14:textId="77777777" w:rsidR="009B78C2" w:rsidRPr="00E02A73" w:rsidRDefault="009B78C2" w:rsidP="00E02A73">
      <w:pPr>
        <w:pBdr>
          <w:top w:val="nil"/>
          <w:left w:val="nil"/>
          <w:bottom w:val="nil"/>
          <w:right w:val="nil"/>
          <w:between w:val="nil"/>
        </w:pBdr>
        <w:rPr>
          <w:rFonts w:ascii="Calibri" w:eastAsia="Calibri" w:hAnsi="Calibri" w:cs="Calibri"/>
          <w:bCs/>
          <w:i/>
          <w:iCs/>
          <w:sz w:val="26"/>
          <w:szCs w:val="26"/>
        </w:rPr>
      </w:pPr>
    </w:p>
    <w:p w14:paraId="1E9B1671" w14:textId="7E4CA3A5" w:rsidR="001F7246" w:rsidRDefault="00437904" w:rsidP="001F7246">
      <w:pPr>
        <w:pBdr>
          <w:top w:val="nil"/>
          <w:left w:val="nil"/>
          <w:bottom w:val="nil"/>
          <w:right w:val="nil"/>
          <w:between w:val="nil"/>
        </w:pBdr>
        <w:rPr>
          <w:rFonts w:ascii="Calibri" w:eastAsia="Calibri" w:hAnsi="Calibri" w:cs="Calibri"/>
          <w:sz w:val="26"/>
          <w:szCs w:val="26"/>
        </w:rPr>
      </w:pPr>
      <w:r>
        <w:rPr>
          <w:rFonts w:ascii="Calibri" w:eastAsia="Calibri" w:hAnsi="Calibri" w:cs="Calibri"/>
          <w:b/>
          <w:sz w:val="26"/>
          <w:szCs w:val="26"/>
        </w:rPr>
        <w:t>Lune</w:t>
      </w:r>
      <w:r w:rsidR="00932F98">
        <w:rPr>
          <w:rFonts w:ascii="Calibri" w:eastAsia="Calibri" w:hAnsi="Calibri" w:cs="Calibri"/>
          <w:b/>
          <w:sz w:val="26"/>
          <w:szCs w:val="26"/>
        </w:rPr>
        <w:t>s</w:t>
      </w:r>
      <w:r w:rsidR="00FD3D67">
        <w:rPr>
          <w:rFonts w:ascii="Calibri" w:eastAsia="Calibri" w:hAnsi="Calibri" w:cs="Calibri"/>
          <w:b/>
          <w:sz w:val="26"/>
          <w:szCs w:val="26"/>
        </w:rPr>
        <w:t xml:space="preserve">, </w:t>
      </w:r>
      <w:r w:rsidR="00DB3022">
        <w:rPr>
          <w:rFonts w:ascii="Calibri" w:eastAsia="Calibri" w:hAnsi="Calibri" w:cs="Calibri"/>
          <w:b/>
          <w:sz w:val="26"/>
          <w:szCs w:val="26"/>
        </w:rPr>
        <w:t>2</w:t>
      </w:r>
      <w:r>
        <w:rPr>
          <w:rFonts w:ascii="Calibri" w:eastAsia="Calibri" w:hAnsi="Calibri" w:cs="Calibri"/>
          <w:b/>
          <w:sz w:val="26"/>
          <w:szCs w:val="26"/>
        </w:rPr>
        <w:t>7</w:t>
      </w:r>
      <w:r w:rsidR="00444756">
        <w:rPr>
          <w:rFonts w:ascii="Calibri" w:eastAsia="Calibri" w:hAnsi="Calibri" w:cs="Calibri"/>
          <w:b/>
          <w:sz w:val="26"/>
          <w:szCs w:val="26"/>
        </w:rPr>
        <w:t xml:space="preserve"> </w:t>
      </w:r>
      <w:r w:rsidR="007A53FD">
        <w:rPr>
          <w:rFonts w:ascii="Calibri" w:eastAsia="Calibri" w:hAnsi="Calibri" w:cs="Calibri"/>
          <w:b/>
          <w:sz w:val="26"/>
          <w:szCs w:val="26"/>
        </w:rPr>
        <w:t xml:space="preserve">de </w:t>
      </w:r>
      <w:r w:rsidR="00444756">
        <w:rPr>
          <w:rFonts w:ascii="Calibri" w:eastAsia="Calibri" w:hAnsi="Calibri" w:cs="Calibri"/>
          <w:b/>
          <w:sz w:val="26"/>
          <w:szCs w:val="26"/>
        </w:rPr>
        <w:t>octubre</w:t>
      </w:r>
      <w:r w:rsidR="00365D40">
        <w:rPr>
          <w:rFonts w:ascii="Calibri" w:eastAsia="Calibri" w:hAnsi="Calibri" w:cs="Calibri"/>
          <w:b/>
          <w:sz w:val="26"/>
          <w:szCs w:val="26"/>
        </w:rPr>
        <w:t xml:space="preserve"> </w:t>
      </w:r>
      <w:r w:rsidR="00FD3D67">
        <w:rPr>
          <w:rFonts w:ascii="Calibri" w:eastAsia="Calibri" w:hAnsi="Calibri" w:cs="Calibri"/>
          <w:b/>
          <w:color w:val="000000"/>
          <w:sz w:val="26"/>
          <w:szCs w:val="26"/>
        </w:rPr>
        <w:t>de 2025.-</w:t>
      </w:r>
      <w:r w:rsidR="00FD3D67">
        <w:rPr>
          <w:rFonts w:ascii="Calibri" w:eastAsia="Calibri" w:hAnsi="Calibri" w:cs="Calibri"/>
          <w:b/>
          <w:sz w:val="26"/>
          <w:szCs w:val="26"/>
        </w:rPr>
        <w:t xml:space="preserve"> </w:t>
      </w:r>
    </w:p>
    <w:p w14:paraId="4A619B16" w14:textId="77777777" w:rsidR="00350B4D" w:rsidRDefault="00350B4D" w:rsidP="00350B4D">
      <w:pPr>
        <w:rPr>
          <w:rFonts w:ascii="Calibri" w:eastAsia="Calibri" w:hAnsi="Calibri" w:cs="Calibri"/>
          <w:sz w:val="26"/>
          <w:szCs w:val="26"/>
        </w:rPr>
      </w:pPr>
    </w:p>
    <w:p w14:paraId="333C1835" w14:textId="3E79B579" w:rsidR="00F77026" w:rsidRPr="00451705" w:rsidRDefault="00437904" w:rsidP="00F77026">
      <w:pPr>
        <w:rPr>
          <w:rFonts w:ascii="Calibri" w:eastAsia="Calibri" w:hAnsi="Calibri" w:cs="Calibri"/>
          <w:i/>
          <w:iCs/>
          <w:sz w:val="26"/>
          <w:szCs w:val="26"/>
        </w:rPr>
      </w:pPr>
      <w:r>
        <w:rPr>
          <w:rFonts w:ascii="Calibri" w:eastAsia="Calibri" w:hAnsi="Calibri" w:cs="Calibri"/>
          <w:sz w:val="26"/>
          <w:szCs w:val="26"/>
        </w:rPr>
        <w:t xml:space="preserve">Comienza la décima campaña de excavaciones arqueológicas en el Islote de Lobos (La Oliva), </w:t>
      </w:r>
      <w:r w:rsidR="00F77026">
        <w:rPr>
          <w:rFonts w:ascii="Calibri" w:eastAsia="Calibri" w:hAnsi="Calibri" w:cs="Calibri"/>
          <w:sz w:val="26"/>
          <w:szCs w:val="26"/>
        </w:rPr>
        <w:t>uno de los proyectos arqueológico</w:t>
      </w:r>
      <w:r w:rsidR="007A0770">
        <w:rPr>
          <w:rFonts w:ascii="Calibri" w:eastAsia="Calibri" w:hAnsi="Calibri" w:cs="Calibri"/>
          <w:sz w:val="26"/>
          <w:szCs w:val="26"/>
        </w:rPr>
        <w:t>s</w:t>
      </w:r>
      <w:r w:rsidR="00F77026">
        <w:rPr>
          <w:rFonts w:ascii="Calibri" w:eastAsia="Calibri" w:hAnsi="Calibri" w:cs="Calibri"/>
          <w:sz w:val="26"/>
          <w:szCs w:val="26"/>
        </w:rPr>
        <w:t xml:space="preserve"> más trascendentales de Canarias. Los trabajos se efectúan en el marco del convenio entre el Cabildo de Fuerteventura y el organismo autónomo de Museos y Centros del Cabildo de Tenerife, en el seno del proyecto de investigación: </w:t>
      </w:r>
      <w:r w:rsidR="00F77026" w:rsidRPr="00451705">
        <w:rPr>
          <w:rFonts w:ascii="Calibri" w:eastAsia="Calibri" w:hAnsi="Calibri" w:cs="Calibri"/>
          <w:i/>
          <w:iCs/>
          <w:sz w:val="26"/>
          <w:szCs w:val="26"/>
        </w:rPr>
        <w:t>Hacia la definición de las islas</w:t>
      </w:r>
    </w:p>
    <w:p w14:paraId="2379802C" w14:textId="77777777" w:rsidR="00F77026" w:rsidRPr="00451705" w:rsidRDefault="00F77026" w:rsidP="00F77026">
      <w:pPr>
        <w:rPr>
          <w:rFonts w:ascii="Calibri" w:eastAsia="Calibri" w:hAnsi="Calibri" w:cs="Calibri"/>
          <w:i/>
          <w:iCs/>
          <w:sz w:val="26"/>
          <w:szCs w:val="26"/>
        </w:rPr>
      </w:pPr>
      <w:r w:rsidRPr="00451705">
        <w:rPr>
          <w:rFonts w:ascii="Calibri" w:eastAsia="Calibri" w:hAnsi="Calibri" w:cs="Calibri"/>
          <w:i/>
          <w:iCs/>
          <w:sz w:val="26"/>
          <w:szCs w:val="26"/>
        </w:rPr>
        <w:t>Purpurarias. Desde el Taller de púrpura de Lobos 1 (Islote de Lobos, La Oliva,</w:t>
      </w:r>
    </w:p>
    <w:p w14:paraId="0736E670" w14:textId="77777777" w:rsidR="00F77026" w:rsidRDefault="00F77026" w:rsidP="00F77026">
      <w:pPr>
        <w:rPr>
          <w:rFonts w:ascii="Calibri" w:eastAsia="Calibri" w:hAnsi="Calibri" w:cs="Calibri"/>
          <w:sz w:val="26"/>
          <w:szCs w:val="26"/>
        </w:rPr>
      </w:pPr>
      <w:r>
        <w:rPr>
          <w:rFonts w:ascii="Calibri" w:eastAsia="Calibri" w:hAnsi="Calibri" w:cs="Calibri"/>
          <w:i/>
          <w:iCs/>
          <w:sz w:val="26"/>
          <w:szCs w:val="26"/>
        </w:rPr>
        <w:t>(</w:t>
      </w:r>
      <w:r w:rsidRPr="00451705">
        <w:rPr>
          <w:rFonts w:ascii="Calibri" w:eastAsia="Calibri" w:hAnsi="Calibri" w:cs="Calibri"/>
          <w:i/>
          <w:iCs/>
          <w:sz w:val="26"/>
          <w:szCs w:val="26"/>
        </w:rPr>
        <w:t>Fuerteventura)</w:t>
      </w:r>
    </w:p>
    <w:p w14:paraId="09D1916A" w14:textId="77777777" w:rsidR="00F77026" w:rsidRDefault="00F77026">
      <w:pPr>
        <w:rPr>
          <w:rFonts w:ascii="Calibri" w:eastAsia="Calibri" w:hAnsi="Calibri" w:cs="Calibri"/>
          <w:sz w:val="26"/>
          <w:szCs w:val="26"/>
        </w:rPr>
      </w:pPr>
    </w:p>
    <w:p w14:paraId="1DF98704" w14:textId="77777777" w:rsidR="00437904" w:rsidRDefault="00437904">
      <w:pPr>
        <w:rPr>
          <w:rFonts w:ascii="Calibri" w:eastAsia="Calibri" w:hAnsi="Calibri" w:cs="Calibri"/>
          <w:sz w:val="26"/>
          <w:szCs w:val="26"/>
        </w:rPr>
      </w:pPr>
      <w:r>
        <w:rPr>
          <w:rFonts w:ascii="Calibri" w:eastAsia="Calibri" w:hAnsi="Calibri" w:cs="Calibri"/>
          <w:sz w:val="26"/>
          <w:szCs w:val="26"/>
        </w:rPr>
        <w:t xml:space="preserve">En esta nueva campaña participa un amplio equipo de investigadores, arqueólogos, biólogos y especialistas en diferentes campos, pertenecientes a las distintas instituciones, así como miembros colaboradores y amigos de los museos arqueológicos de Fuerteventura y Tenerife. </w:t>
      </w:r>
    </w:p>
    <w:p w14:paraId="672A45DC" w14:textId="77777777" w:rsidR="00437904" w:rsidRDefault="00437904">
      <w:pPr>
        <w:rPr>
          <w:rFonts w:ascii="Calibri" w:eastAsia="Calibri" w:hAnsi="Calibri" w:cs="Calibri"/>
          <w:sz w:val="26"/>
          <w:szCs w:val="26"/>
        </w:rPr>
      </w:pPr>
    </w:p>
    <w:p w14:paraId="355F475E" w14:textId="7E729F81" w:rsidR="00437904" w:rsidRDefault="00437904">
      <w:pPr>
        <w:rPr>
          <w:rFonts w:ascii="Calibri" w:eastAsia="Calibri" w:hAnsi="Calibri" w:cs="Calibri"/>
          <w:sz w:val="26"/>
          <w:szCs w:val="26"/>
        </w:rPr>
      </w:pPr>
      <w:r>
        <w:rPr>
          <w:rFonts w:ascii="Calibri" w:eastAsia="Calibri" w:hAnsi="Calibri" w:cs="Calibri"/>
          <w:sz w:val="26"/>
          <w:szCs w:val="26"/>
        </w:rPr>
        <w:t xml:space="preserve">Con una duración de tres semanas, los trabajos finalizarán el próximo 15 de noviembre, siendo su objetivo definir la extensión del yacimiento Lobos I, consistente en un taller de púrpura, hacia la zona sur de la Playa de La Calera. Para ello, se prevé practicar dos sondeos en lugares diferentes. Uno próximo al taller y al pie del pequeño cono volcánico que se asocia y otro hacia el suroeste, próximo a la línea de costa. </w:t>
      </w:r>
      <w:r w:rsidR="00451705">
        <w:rPr>
          <w:rFonts w:ascii="Calibri" w:eastAsia="Calibri" w:hAnsi="Calibri" w:cs="Calibri"/>
          <w:sz w:val="26"/>
          <w:szCs w:val="26"/>
        </w:rPr>
        <w:t>Estas áreas podrían articular un espacio diferente, siempre complementaria al taller, asociándose a una de ellas una posible actividad relacionada con la vida cotidiana y otra con actividades haliéuticas (pesca). El tiempo y el esfuerzo del trabajo arqueológico proporcionará el diagnóstico que se busca</w:t>
      </w:r>
      <w:r w:rsidR="00F77026">
        <w:rPr>
          <w:rFonts w:ascii="Calibri" w:eastAsia="Calibri" w:hAnsi="Calibri" w:cs="Calibri"/>
          <w:sz w:val="26"/>
          <w:szCs w:val="26"/>
        </w:rPr>
        <w:t>, según ha indicado el consejero de Patrimonio Histórico, Rayco León, en uno de los lugares más importantes en la historia de la arqueología de Canarias.</w:t>
      </w:r>
    </w:p>
    <w:p w14:paraId="797DED9B" w14:textId="77777777" w:rsidR="00437904" w:rsidRDefault="00437904">
      <w:pPr>
        <w:rPr>
          <w:rFonts w:ascii="Calibri" w:eastAsia="Calibri" w:hAnsi="Calibri" w:cs="Calibri"/>
          <w:sz w:val="26"/>
          <w:szCs w:val="26"/>
        </w:rPr>
      </w:pPr>
    </w:p>
    <w:p w14:paraId="4D450676" w14:textId="77777777" w:rsidR="00451705" w:rsidRDefault="00451705" w:rsidP="00451705">
      <w:pPr>
        <w:rPr>
          <w:rFonts w:ascii="Calibri" w:eastAsia="Calibri" w:hAnsi="Calibri" w:cs="Calibri"/>
          <w:sz w:val="26"/>
          <w:szCs w:val="26"/>
        </w:rPr>
      </w:pPr>
    </w:p>
    <w:p w14:paraId="18A1A8D5" w14:textId="1ADA10A6" w:rsidR="00451705" w:rsidRDefault="00451705" w:rsidP="00451705">
      <w:pPr>
        <w:rPr>
          <w:rFonts w:ascii="Calibri" w:eastAsia="Calibri" w:hAnsi="Calibri" w:cs="Calibri"/>
          <w:sz w:val="26"/>
          <w:szCs w:val="26"/>
        </w:rPr>
      </w:pPr>
      <w:r>
        <w:rPr>
          <w:rFonts w:ascii="Calibri" w:eastAsia="Calibri" w:hAnsi="Calibri" w:cs="Calibri"/>
          <w:sz w:val="26"/>
          <w:szCs w:val="26"/>
        </w:rPr>
        <w:t>La dirección de los trabajos reca</w:t>
      </w:r>
      <w:r w:rsidR="00957C08">
        <w:rPr>
          <w:rFonts w:ascii="Calibri" w:eastAsia="Calibri" w:hAnsi="Calibri" w:cs="Calibri"/>
          <w:sz w:val="26"/>
          <w:szCs w:val="26"/>
        </w:rPr>
        <w:t>e</w:t>
      </w:r>
      <w:r>
        <w:rPr>
          <w:rFonts w:ascii="Calibri" w:eastAsia="Calibri" w:hAnsi="Calibri" w:cs="Calibri"/>
          <w:sz w:val="26"/>
          <w:szCs w:val="26"/>
        </w:rPr>
        <w:t xml:space="preserve"> en el director del Museo Arqueológico de Fuerteventura, Isidoro Hernández, la técnica y conservadora en Arqueología del Museo Arqueológico de Tenerife y la catedrática de Prehistoria, Carmen del Arco, y ha sido autorizado por la Dirección General de Cultura y Patrimonio Cultural de Canarias. Colabora, además, BINTER Canarias, que sufraga los gastos del traslado del equipo y transporte de los materiales.</w:t>
      </w:r>
    </w:p>
    <w:p w14:paraId="07EE4CA2" w14:textId="0599D6BA" w:rsidR="00437904" w:rsidRDefault="00437904">
      <w:pPr>
        <w:rPr>
          <w:rFonts w:ascii="Calibri" w:eastAsia="Calibri" w:hAnsi="Calibri" w:cs="Calibri"/>
          <w:sz w:val="26"/>
          <w:szCs w:val="26"/>
        </w:rPr>
      </w:pPr>
    </w:p>
    <w:p w14:paraId="784F4080" w14:textId="77777777" w:rsidR="00437904" w:rsidRDefault="00437904">
      <w:pPr>
        <w:rPr>
          <w:rFonts w:ascii="Calibri" w:eastAsia="Calibri" w:hAnsi="Calibri" w:cs="Calibri"/>
          <w:sz w:val="26"/>
          <w:szCs w:val="26"/>
        </w:rPr>
      </w:pPr>
    </w:p>
    <w:p w14:paraId="732EB7B1" w14:textId="77777777" w:rsidR="00437904" w:rsidRDefault="00437904">
      <w:pPr>
        <w:rPr>
          <w:rFonts w:ascii="Calibri" w:eastAsia="Calibri" w:hAnsi="Calibri" w:cs="Calibri"/>
          <w:sz w:val="26"/>
          <w:szCs w:val="26"/>
        </w:rPr>
      </w:pPr>
    </w:p>
    <w:p w14:paraId="4AEF31C8" w14:textId="77777777" w:rsidR="00437904" w:rsidRDefault="00437904">
      <w:pPr>
        <w:rPr>
          <w:rFonts w:ascii="Calibri" w:eastAsia="Calibri" w:hAnsi="Calibri" w:cs="Calibri"/>
          <w:sz w:val="26"/>
          <w:szCs w:val="26"/>
        </w:rPr>
      </w:pPr>
    </w:p>
    <w:p w14:paraId="790CFAC9" w14:textId="7E452501" w:rsidR="00437904" w:rsidRPr="00AF0AA3" w:rsidRDefault="00437904">
      <w:pPr>
        <w:rPr>
          <w:rFonts w:ascii="Calibri" w:eastAsia="Calibri" w:hAnsi="Calibri" w:cs="Calibri"/>
          <w:sz w:val="26"/>
          <w:szCs w:val="26"/>
        </w:rPr>
      </w:pPr>
    </w:p>
    <w:sectPr w:rsidR="00437904" w:rsidRPr="00AF0AA3">
      <w:headerReference w:type="even" r:id="rId8"/>
      <w:headerReference w:type="default" r:id="rId9"/>
      <w:footerReference w:type="even" r:id="rId10"/>
      <w:footerReference w:type="default" r:id="rId11"/>
      <w:headerReference w:type="first" r:id="rId12"/>
      <w:footerReference w:type="first" r:id="rId13"/>
      <w:pgSz w:w="11900" w:h="16840"/>
      <w:pgMar w:top="2410" w:right="1701" w:bottom="1391" w:left="1701" w:header="708" w:footer="42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85C59" w14:textId="77777777" w:rsidR="00FA36BF" w:rsidRDefault="00FA36BF">
      <w:r>
        <w:separator/>
      </w:r>
    </w:p>
  </w:endnote>
  <w:endnote w:type="continuationSeparator" w:id="0">
    <w:p w14:paraId="76FB6ECD" w14:textId="77777777" w:rsidR="00FA36BF" w:rsidRDefault="00FA3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603F9"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604FA" w14:textId="77777777" w:rsidR="00586E86" w:rsidRDefault="00FD3D67">
    <w:pPr>
      <w:pBdr>
        <w:top w:val="nil"/>
        <w:left w:val="nil"/>
        <w:bottom w:val="nil"/>
        <w:right w:val="nil"/>
        <w:between w:val="nil"/>
      </w:pBdr>
      <w:tabs>
        <w:tab w:val="center" w:pos="4252"/>
        <w:tab w:val="right" w:pos="8504"/>
        <w:tab w:val="right" w:pos="8478"/>
      </w:tabs>
      <w:jc w:val="center"/>
      <w:rPr>
        <w:rFonts w:ascii="Calibri" w:eastAsia="Calibri" w:hAnsi="Calibri" w:cs="Calibri"/>
        <w:color w:val="FFFFFF"/>
        <w:sz w:val="18"/>
        <w:szCs w:val="18"/>
      </w:rPr>
    </w:pPr>
    <w:r>
      <w:rPr>
        <w:rFonts w:ascii="Calibri" w:eastAsia="Calibri" w:hAnsi="Calibri" w:cs="Calibri"/>
        <w:color w:val="FFFFFF"/>
        <w:sz w:val="20"/>
        <w:szCs w:val="20"/>
      </w:rPr>
      <w:t xml:space="preserve">C/ Primero de Mayo, 39. 35600 Puerto del Rosario | 928 862300 | </w:t>
    </w:r>
    <w:hyperlink r:id="rId1">
      <w:r>
        <w:rPr>
          <w:rFonts w:ascii="Calibri" w:eastAsia="Calibri" w:hAnsi="Calibri" w:cs="Calibri"/>
          <w:color w:val="FFFFFF"/>
          <w:sz w:val="20"/>
          <w:szCs w:val="20"/>
        </w:rPr>
        <w:t>gabinete.prensa@cabildofuer.es</w:t>
      </w:r>
    </w:hyperlink>
  </w:p>
  <w:p w14:paraId="6EB9C867" w14:textId="77777777" w:rsidR="00586E86" w:rsidRDefault="00FD3D67">
    <w:pPr>
      <w:pBdr>
        <w:top w:val="nil"/>
        <w:left w:val="nil"/>
        <w:bottom w:val="nil"/>
        <w:right w:val="nil"/>
        <w:between w:val="nil"/>
      </w:pBdr>
      <w:tabs>
        <w:tab w:val="center" w:pos="4252"/>
        <w:tab w:val="right" w:pos="8504"/>
        <w:tab w:val="right" w:pos="8478"/>
      </w:tabs>
      <w:jc w:val="center"/>
      <w:rPr>
        <w:rFonts w:ascii="Calibri" w:eastAsia="Calibri" w:hAnsi="Calibri" w:cs="Calibri"/>
        <w:color w:val="000000"/>
        <w:sz w:val="22"/>
        <w:szCs w:val="22"/>
      </w:rPr>
    </w:pPr>
    <w:r>
      <w:rPr>
        <w:rFonts w:ascii="Calibri" w:eastAsia="Calibri" w:hAnsi="Calibri" w:cs="Calibri"/>
        <w:b/>
        <w:color w:val="FFFFFF"/>
        <w:sz w:val="28"/>
        <w:szCs w:val="28"/>
      </w:rPr>
      <w:t>www.cabildofuerteventura.org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7EC45"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2AD83" w14:textId="77777777" w:rsidR="00FA36BF" w:rsidRDefault="00FA36BF">
      <w:r>
        <w:separator/>
      </w:r>
    </w:p>
  </w:footnote>
  <w:footnote w:type="continuationSeparator" w:id="0">
    <w:p w14:paraId="5A1D8C42" w14:textId="77777777" w:rsidR="00FA36BF" w:rsidRDefault="00FA36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5EFD"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1B9E3" w14:textId="77777777" w:rsidR="00586E86" w:rsidRDefault="00FD3D67">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color w:val="000000"/>
        <w:sz w:val="22"/>
        <w:szCs w:val="22"/>
      </w:rPr>
    </w:pPr>
    <w:r>
      <w:rPr>
        <w:rFonts w:ascii="Calibri" w:eastAsia="Calibri" w:hAnsi="Calibri" w:cs="Calibri"/>
        <w:noProof/>
        <w:color w:val="000000"/>
        <w:sz w:val="22"/>
        <w:szCs w:val="22"/>
      </w:rPr>
      <w:drawing>
        <wp:anchor distT="0" distB="0" distL="0" distR="0" simplePos="0" relativeHeight="251658240" behindDoc="1" locked="0" layoutInCell="1" hidden="0" allowOverlap="1" wp14:anchorId="5805DCD4" wp14:editId="73F59B56">
          <wp:simplePos x="0" y="0"/>
          <wp:positionH relativeFrom="page">
            <wp:posOffset>0</wp:posOffset>
          </wp:positionH>
          <wp:positionV relativeFrom="page">
            <wp:posOffset>-50516</wp:posOffset>
          </wp:positionV>
          <wp:extent cx="7562216" cy="10692132"/>
          <wp:effectExtent l="0" t="0" r="0" b="0"/>
          <wp:wrapNone/>
          <wp:docPr id="2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alphaModFix amt="30000"/>
                  </a:blip>
                  <a:srcRect/>
                  <a:stretch>
                    <a:fillRect/>
                  </a:stretch>
                </pic:blipFill>
                <pic:spPr>
                  <a:xfrm>
                    <a:off x="0" y="0"/>
                    <a:ext cx="7562216" cy="10692132"/>
                  </a:xfrm>
                  <a:prstGeom prst="rect">
                    <a:avLst/>
                  </a:prstGeom>
                  <a:ln/>
                </pic:spPr>
              </pic:pic>
            </a:graphicData>
          </a:graphic>
        </wp:anchor>
      </w:drawing>
    </w:r>
    <w:r>
      <w:rPr>
        <w:rFonts w:ascii="Calibri" w:eastAsia="Calibri" w:hAnsi="Calibri" w:cs="Calibri"/>
        <w:noProof/>
        <w:color w:val="000000"/>
        <w:sz w:val="22"/>
        <w:szCs w:val="22"/>
      </w:rPr>
      <w:drawing>
        <wp:anchor distT="0" distB="0" distL="0" distR="0" simplePos="0" relativeHeight="251659264" behindDoc="1" locked="0" layoutInCell="1" hidden="0" allowOverlap="1" wp14:anchorId="305528C8" wp14:editId="4E0A41EB">
          <wp:simplePos x="0" y="0"/>
          <wp:positionH relativeFrom="page">
            <wp:posOffset>180152</wp:posOffset>
          </wp:positionH>
          <wp:positionV relativeFrom="page">
            <wp:posOffset>846455</wp:posOffset>
          </wp:positionV>
          <wp:extent cx="7200001" cy="95673"/>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200001" cy="95673"/>
                  </a:xfrm>
                  <a:prstGeom prst="rect">
                    <a:avLst/>
                  </a:prstGeom>
                  <a:ln/>
                </pic:spPr>
              </pic:pic>
            </a:graphicData>
          </a:graphic>
        </wp:anchor>
      </w:drawing>
    </w:r>
    <w:r>
      <w:rPr>
        <w:rFonts w:ascii="Calibri" w:eastAsia="Calibri" w:hAnsi="Calibri" w:cs="Calibri"/>
        <w:noProof/>
        <w:color w:val="000000"/>
        <w:sz w:val="22"/>
        <w:szCs w:val="22"/>
      </w:rPr>
      <w:drawing>
        <wp:inline distT="0" distB="0" distL="0" distR="0" wp14:anchorId="7A8FB639" wp14:editId="764EB173">
          <wp:extent cx="2295525" cy="652772"/>
          <wp:effectExtent l="0" t="0" r="0" b="0"/>
          <wp:docPr id="2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2295525" cy="652772"/>
                  </a:xfrm>
                  <a:prstGeom prst="rect">
                    <a:avLst/>
                  </a:prstGeom>
                  <a:ln/>
                </pic:spPr>
              </pic:pic>
            </a:graphicData>
          </a:graphic>
        </wp:inline>
      </w:drawing>
    </w:r>
  </w:p>
  <w:p w14:paraId="2675456F" w14:textId="77777777" w:rsidR="00586E86" w:rsidRDefault="00FD3D67">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b/>
        <w:color w:val="A6A6A6"/>
        <w:sz w:val="36"/>
        <w:szCs w:val="36"/>
      </w:rPr>
    </w:pPr>
    <w:r>
      <w:rPr>
        <w:rFonts w:ascii="Calibri" w:eastAsia="Calibri" w:hAnsi="Calibri" w:cs="Calibri"/>
        <w:b/>
        <w:color w:val="A6A6A6"/>
        <w:sz w:val="36"/>
        <w:szCs w:val="36"/>
      </w:rPr>
      <w:t>Gabinete de Prensa</w:t>
    </w:r>
  </w:p>
  <w:p w14:paraId="4BBD304D" w14:textId="77777777" w:rsidR="009F6889" w:rsidRDefault="009F6889" w:rsidP="009F6889">
    <w:pPr>
      <w:pBdr>
        <w:top w:val="nil"/>
        <w:left w:val="nil"/>
        <w:bottom w:val="nil"/>
        <w:right w:val="nil"/>
        <w:between w:val="nil"/>
      </w:pBdr>
      <w:tabs>
        <w:tab w:val="center" w:pos="4252"/>
        <w:tab w:val="right" w:pos="8504"/>
        <w:tab w:val="right" w:pos="8478"/>
      </w:tabs>
      <w:spacing w:line="276" w:lineRule="auto"/>
      <w:rPr>
        <w:rFonts w:ascii="Calibri" w:eastAsia="Calibri" w:hAnsi="Calibri" w:cs="Calibri"/>
        <w:b/>
        <w:color w:val="A6A6A6"/>
        <w:sz w:val="36"/>
        <w:szCs w:val="36"/>
      </w:rPr>
    </w:pPr>
  </w:p>
  <w:p w14:paraId="3AA77BB5" w14:textId="091E9CE1" w:rsidR="009F6889" w:rsidRDefault="009F6889" w:rsidP="009F6889">
    <w:pPr>
      <w:pBdr>
        <w:top w:val="nil"/>
        <w:left w:val="nil"/>
        <w:bottom w:val="nil"/>
        <w:right w:val="nil"/>
        <w:between w:val="nil"/>
      </w:pBdr>
      <w:tabs>
        <w:tab w:val="center" w:pos="4252"/>
        <w:tab w:val="right" w:pos="8504"/>
        <w:tab w:val="right" w:pos="8478"/>
      </w:tabs>
      <w:spacing w:line="276" w:lineRule="auto"/>
      <w:rPr>
        <w:rFonts w:ascii="Calibri" w:eastAsia="Calibri" w:hAnsi="Calibri" w:cs="Calibri"/>
        <w:b/>
        <w:color w:val="A6A6A6"/>
        <w:sz w:val="36"/>
        <w:szCs w:val="36"/>
      </w:rPr>
    </w:pPr>
  </w:p>
  <w:p w14:paraId="5F91A507" w14:textId="77777777" w:rsidR="009F6889" w:rsidRDefault="009F6889">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color w:val="000000"/>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86918"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E86"/>
    <w:rsid w:val="00000502"/>
    <w:rsid w:val="00000C0C"/>
    <w:rsid w:val="0000156A"/>
    <w:rsid w:val="000033BA"/>
    <w:rsid w:val="0002296F"/>
    <w:rsid w:val="000241F8"/>
    <w:rsid w:val="00026C2E"/>
    <w:rsid w:val="000360A9"/>
    <w:rsid w:val="000362DD"/>
    <w:rsid w:val="000402F9"/>
    <w:rsid w:val="00042617"/>
    <w:rsid w:val="00052C85"/>
    <w:rsid w:val="00060819"/>
    <w:rsid w:val="00062CB2"/>
    <w:rsid w:val="000645F4"/>
    <w:rsid w:val="00073A85"/>
    <w:rsid w:val="00082B85"/>
    <w:rsid w:val="00084EA0"/>
    <w:rsid w:val="00093ECA"/>
    <w:rsid w:val="000A1626"/>
    <w:rsid w:val="000A1C61"/>
    <w:rsid w:val="000B3206"/>
    <w:rsid w:val="000B56F4"/>
    <w:rsid w:val="000D4E26"/>
    <w:rsid w:val="000E0288"/>
    <w:rsid w:val="000E5652"/>
    <w:rsid w:val="000E7770"/>
    <w:rsid w:val="000F33EB"/>
    <w:rsid w:val="000F3789"/>
    <w:rsid w:val="000F5723"/>
    <w:rsid w:val="000F7C8D"/>
    <w:rsid w:val="0010178B"/>
    <w:rsid w:val="00106C95"/>
    <w:rsid w:val="00112657"/>
    <w:rsid w:val="001136D5"/>
    <w:rsid w:val="00116F69"/>
    <w:rsid w:val="00117B50"/>
    <w:rsid w:val="00117C64"/>
    <w:rsid w:val="00123E21"/>
    <w:rsid w:val="00130781"/>
    <w:rsid w:val="001357E5"/>
    <w:rsid w:val="00137588"/>
    <w:rsid w:val="00146DC4"/>
    <w:rsid w:val="001552B1"/>
    <w:rsid w:val="0017331D"/>
    <w:rsid w:val="001749E3"/>
    <w:rsid w:val="00180F62"/>
    <w:rsid w:val="00182FE1"/>
    <w:rsid w:val="001845D7"/>
    <w:rsid w:val="001944D7"/>
    <w:rsid w:val="001A02F5"/>
    <w:rsid w:val="001A3C00"/>
    <w:rsid w:val="001A58AF"/>
    <w:rsid w:val="001B08A4"/>
    <w:rsid w:val="001B1A6C"/>
    <w:rsid w:val="001B3F6F"/>
    <w:rsid w:val="001C161B"/>
    <w:rsid w:val="001C40AC"/>
    <w:rsid w:val="001D04FF"/>
    <w:rsid w:val="001D28FF"/>
    <w:rsid w:val="001D3313"/>
    <w:rsid w:val="001D7A58"/>
    <w:rsid w:val="001E29BA"/>
    <w:rsid w:val="001E3276"/>
    <w:rsid w:val="001F11F9"/>
    <w:rsid w:val="001F7246"/>
    <w:rsid w:val="00217090"/>
    <w:rsid w:val="00225069"/>
    <w:rsid w:val="002254AC"/>
    <w:rsid w:val="00225ED5"/>
    <w:rsid w:val="00230D29"/>
    <w:rsid w:val="0023295A"/>
    <w:rsid w:val="00235093"/>
    <w:rsid w:val="00243F17"/>
    <w:rsid w:val="002504B8"/>
    <w:rsid w:val="002524F7"/>
    <w:rsid w:val="0025444B"/>
    <w:rsid w:val="0026204F"/>
    <w:rsid w:val="0026304A"/>
    <w:rsid w:val="00267518"/>
    <w:rsid w:val="0027235E"/>
    <w:rsid w:val="002755A1"/>
    <w:rsid w:val="00284336"/>
    <w:rsid w:val="0028546C"/>
    <w:rsid w:val="0028619A"/>
    <w:rsid w:val="002902AF"/>
    <w:rsid w:val="00290755"/>
    <w:rsid w:val="00293F30"/>
    <w:rsid w:val="0029489D"/>
    <w:rsid w:val="0029501A"/>
    <w:rsid w:val="00296AFD"/>
    <w:rsid w:val="002A55B8"/>
    <w:rsid w:val="002A6E9B"/>
    <w:rsid w:val="002B6016"/>
    <w:rsid w:val="002C6CD4"/>
    <w:rsid w:val="002C7BA8"/>
    <w:rsid w:val="002D15B2"/>
    <w:rsid w:val="002D3411"/>
    <w:rsid w:val="002D413C"/>
    <w:rsid w:val="002D7F19"/>
    <w:rsid w:val="002E0238"/>
    <w:rsid w:val="002E1EF9"/>
    <w:rsid w:val="002F00FF"/>
    <w:rsid w:val="002F2D02"/>
    <w:rsid w:val="00301052"/>
    <w:rsid w:val="00307E36"/>
    <w:rsid w:val="00313711"/>
    <w:rsid w:val="00315B06"/>
    <w:rsid w:val="00324599"/>
    <w:rsid w:val="00324702"/>
    <w:rsid w:val="00324C67"/>
    <w:rsid w:val="00324FB8"/>
    <w:rsid w:val="0033152D"/>
    <w:rsid w:val="0033498D"/>
    <w:rsid w:val="003366C1"/>
    <w:rsid w:val="003466A7"/>
    <w:rsid w:val="00350B4D"/>
    <w:rsid w:val="00365389"/>
    <w:rsid w:val="00365D40"/>
    <w:rsid w:val="00367128"/>
    <w:rsid w:val="00370608"/>
    <w:rsid w:val="0037450D"/>
    <w:rsid w:val="0038064D"/>
    <w:rsid w:val="00380E3D"/>
    <w:rsid w:val="003818EB"/>
    <w:rsid w:val="003848D1"/>
    <w:rsid w:val="00385340"/>
    <w:rsid w:val="00390D74"/>
    <w:rsid w:val="00392F18"/>
    <w:rsid w:val="003A1D7D"/>
    <w:rsid w:val="003A2009"/>
    <w:rsid w:val="003A5268"/>
    <w:rsid w:val="003B108C"/>
    <w:rsid w:val="003B536A"/>
    <w:rsid w:val="003B6085"/>
    <w:rsid w:val="003C5FED"/>
    <w:rsid w:val="003D255B"/>
    <w:rsid w:val="003D2FFC"/>
    <w:rsid w:val="003E2EF4"/>
    <w:rsid w:val="003F0510"/>
    <w:rsid w:val="003F6EEB"/>
    <w:rsid w:val="0040064B"/>
    <w:rsid w:val="00406BC0"/>
    <w:rsid w:val="00416F2C"/>
    <w:rsid w:val="0042273C"/>
    <w:rsid w:val="00431ECA"/>
    <w:rsid w:val="00434FE7"/>
    <w:rsid w:val="004367B9"/>
    <w:rsid w:val="00437904"/>
    <w:rsid w:val="004440BF"/>
    <w:rsid w:val="00444756"/>
    <w:rsid w:val="00451705"/>
    <w:rsid w:val="004521EE"/>
    <w:rsid w:val="00456359"/>
    <w:rsid w:val="00456D1F"/>
    <w:rsid w:val="004613E4"/>
    <w:rsid w:val="004628EA"/>
    <w:rsid w:val="004657F2"/>
    <w:rsid w:val="0047224B"/>
    <w:rsid w:val="00475236"/>
    <w:rsid w:val="00483722"/>
    <w:rsid w:val="00490ABA"/>
    <w:rsid w:val="004926E7"/>
    <w:rsid w:val="00495BEC"/>
    <w:rsid w:val="00496CD3"/>
    <w:rsid w:val="00497CF7"/>
    <w:rsid w:val="004A071D"/>
    <w:rsid w:val="004A4787"/>
    <w:rsid w:val="004B1CFE"/>
    <w:rsid w:val="004B5C97"/>
    <w:rsid w:val="004B78A6"/>
    <w:rsid w:val="004C7EC2"/>
    <w:rsid w:val="004D038F"/>
    <w:rsid w:val="004D1D20"/>
    <w:rsid w:val="004D62D0"/>
    <w:rsid w:val="004E0CB3"/>
    <w:rsid w:val="004E403C"/>
    <w:rsid w:val="004F7BEA"/>
    <w:rsid w:val="005010D4"/>
    <w:rsid w:val="00512A18"/>
    <w:rsid w:val="005153E1"/>
    <w:rsid w:val="00524126"/>
    <w:rsid w:val="00526061"/>
    <w:rsid w:val="00526C74"/>
    <w:rsid w:val="00537F24"/>
    <w:rsid w:val="005430A1"/>
    <w:rsid w:val="00550A08"/>
    <w:rsid w:val="0056291F"/>
    <w:rsid w:val="00567297"/>
    <w:rsid w:val="00572500"/>
    <w:rsid w:val="005743E7"/>
    <w:rsid w:val="005745A4"/>
    <w:rsid w:val="005800D7"/>
    <w:rsid w:val="005822E3"/>
    <w:rsid w:val="00586E86"/>
    <w:rsid w:val="005912B0"/>
    <w:rsid w:val="0059162B"/>
    <w:rsid w:val="005971AD"/>
    <w:rsid w:val="005A17C9"/>
    <w:rsid w:val="005A7876"/>
    <w:rsid w:val="005C0128"/>
    <w:rsid w:val="005C06AE"/>
    <w:rsid w:val="005C1957"/>
    <w:rsid w:val="005C3B9E"/>
    <w:rsid w:val="005D1E38"/>
    <w:rsid w:val="005D3597"/>
    <w:rsid w:val="005E0BF0"/>
    <w:rsid w:val="005F0FAA"/>
    <w:rsid w:val="005F43A2"/>
    <w:rsid w:val="00600081"/>
    <w:rsid w:val="0060332C"/>
    <w:rsid w:val="00604347"/>
    <w:rsid w:val="0060686A"/>
    <w:rsid w:val="00614A24"/>
    <w:rsid w:val="006235B9"/>
    <w:rsid w:val="00625F2F"/>
    <w:rsid w:val="00633E90"/>
    <w:rsid w:val="00643799"/>
    <w:rsid w:val="00643C4C"/>
    <w:rsid w:val="00644B7A"/>
    <w:rsid w:val="00653EB0"/>
    <w:rsid w:val="00653FD1"/>
    <w:rsid w:val="00656DF6"/>
    <w:rsid w:val="00657A46"/>
    <w:rsid w:val="00663685"/>
    <w:rsid w:val="00663A87"/>
    <w:rsid w:val="00664848"/>
    <w:rsid w:val="00664A4E"/>
    <w:rsid w:val="00665E82"/>
    <w:rsid w:val="00666934"/>
    <w:rsid w:val="00666B77"/>
    <w:rsid w:val="00672A62"/>
    <w:rsid w:val="00676230"/>
    <w:rsid w:val="0068288E"/>
    <w:rsid w:val="006853B2"/>
    <w:rsid w:val="00697326"/>
    <w:rsid w:val="006A7387"/>
    <w:rsid w:val="006B0B82"/>
    <w:rsid w:val="006B1BD7"/>
    <w:rsid w:val="006B3147"/>
    <w:rsid w:val="006B3AE5"/>
    <w:rsid w:val="006B5D68"/>
    <w:rsid w:val="006B6EA8"/>
    <w:rsid w:val="006C6B97"/>
    <w:rsid w:val="006D56A6"/>
    <w:rsid w:val="006D6515"/>
    <w:rsid w:val="006D789B"/>
    <w:rsid w:val="006E2113"/>
    <w:rsid w:val="006E2D17"/>
    <w:rsid w:val="006E2F2F"/>
    <w:rsid w:val="006E484E"/>
    <w:rsid w:val="006E5307"/>
    <w:rsid w:val="006E607C"/>
    <w:rsid w:val="006E74D1"/>
    <w:rsid w:val="006F03D3"/>
    <w:rsid w:val="006F46E6"/>
    <w:rsid w:val="006F6C7B"/>
    <w:rsid w:val="006F7A37"/>
    <w:rsid w:val="00704483"/>
    <w:rsid w:val="00705491"/>
    <w:rsid w:val="00711A06"/>
    <w:rsid w:val="00713D3F"/>
    <w:rsid w:val="0071444D"/>
    <w:rsid w:val="00717459"/>
    <w:rsid w:val="007323AB"/>
    <w:rsid w:val="007336A3"/>
    <w:rsid w:val="00735323"/>
    <w:rsid w:val="0074370C"/>
    <w:rsid w:val="007445FB"/>
    <w:rsid w:val="00744C4B"/>
    <w:rsid w:val="00745460"/>
    <w:rsid w:val="00747269"/>
    <w:rsid w:val="00747720"/>
    <w:rsid w:val="00751579"/>
    <w:rsid w:val="00755EB7"/>
    <w:rsid w:val="00757AC0"/>
    <w:rsid w:val="00763322"/>
    <w:rsid w:val="0077346B"/>
    <w:rsid w:val="00781A7E"/>
    <w:rsid w:val="00783A9B"/>
    <w:rsid w:val="00790CFD"/>
    <w:rsid w:val="007928E0"/>
    <w:rsid w:val="00792B9E"/>
    <w:rsid w:val="007944AE"/>
    <w:rsid w:val="007A0770"/>
    <w:rsid w:val="007A321D"/>
    <w:rsid w:val="007A53FD"/>
    <w:rsid w:val="007A724E"/>
    <w:rsid w:val="007C1DD7"/>
    <w:rsid w:val="007C5845"/>
    <w:rsid w:val="007D0326"/>
    <w:rsid w:val="007D08F4"/>
    <w:rsid w:val="007E2090"/>
    <w:rsid w:val="007E4C8D"/>
    <w:rsid w:val="007E6D9A"/>
    <w:rsid w:val="00802E91"/>
    <w:rsid w:val="00804362"/>
    <w:rsid w:val="00804419"/>
    <w:rsid w:val="0080480E"/>
    <w:rsid w:val="00810CAE"/>
    <w:rsid w:val="00820DA4"/>
    <w:rsid w:val="00821815"/>
    <w:rsid w:val="00837ACF"/>
    <w:rsid w:val="00845C39"/>
    <w:rsid w:val="008551C1"/>
    <w:rsid w:val="0085752B"/>
    <w:rsid w:val="00860AD9"/>
    <w:rsid w:val="0086112A"/>
    <w:rsid w:val="00861494"/>
    <w:rsid w:val="00876557"/>
    <w:rsid w:val="0088334D"/>
    <w:rsid w:val="00885B52"/>
    <w:rsid w:val="0088748F"/>
    <w:rsid w:val="00892DCD"/>
    <w:rsid w:val="0089395A"/>
    <w:rsid w:val="00893CC7"/>
    <w:rsid w:val="008A6BCA"/>
    <w:rsid w:val="008A700B"/>
    <w:rsid w:val="008B027F"/>
    <w:rsid w:val="008B3A08"/>
    <w:rsid w:val="008B4DCE"/>
    <w:rsid w:val="008C02A9"/>
    <w:rsid w:val="008C406E"/>
    <w:rsid w:val="008C50AA"/>
    <w:rsid w:val="008C7FF2"/>
    <w:rsid w:val="008D3A31"/>
    <w:rsid w:val="008D5565"/>
    <w:rsid w:val="008D6FC8"/>
    <w:rsid w:val="008E2861"/>
    <w:rsid w:val="008E670B"/>
    <w:rsid w:val="008F5081"/>
    <w:rsid w:val="008F6911"/>
    <w:rsid w:val="00904DE6"/>
    <w:rsid w:val="00905B51"/>
    <w:rsid w:val="00910311"/>
    <w:rsid w:val="009112AD"/>
    <w:rsid w:val="009115D2"/>
    <w:rsid w:val="00915141"/>
    <w:rsid w:val="0091615D"/>
    <w:rsid w:val="00926C39"/>
    <w:rsid w:val="009319F9"/>
    <w:rsid w:val="00932A13"/>
    <w:rsid w:val="00932F98"/>
    <w:rsid w:val="00937EC6"/>
    <w:rsid w:val="009420E1"/>
    <w:rsid w:val="00946925"/>
    <w:rsid w:val="00950F15"/>
    <w:rsid w:val="00955D08"/>
    <w:rsid w:val="00956229"/>
    <w:rsid w:val="00957C08"/>
    <w:rsid w:val="009612F1"/>
    <w:rsid w:val="00967594"/>
    <w:rsid w:val="009702A9"/>
    <w:rsid w:val="00970CDA"/>
    <w:rsid w:val="00971397"/>
    <w:rsid w:val="00972A83"/>
    <w:rsid w:val="00976D87"/>
    <w:rsid w:val="009828A1"/>
    <w:rsid w:val="009841B1"/>
    <w:rsid w:val="0099243E"/>
    <w:rsid w:val="009934FB"/>
    <w:rsid w:val="009A1A76"/>
    <w:rsid w:val="009B1BBD"/>
    <w:rsid w:val="009B5B7E"/>
    <w:rsid w:val="009B7042"/>
    <w:rsid w:val="009B78C2"/>
    <w:rsid w:val="009C02D7"/>
    <w:rsid w:val="009C2D7A"/>
    <w:rsid w:val="009E1BD9"/>
    <w:rsid w:val="009E6F91"/>
    <w:rsid w:val="009F1378"/>
    <w:rsid w:val="009F1772"/>
    <w:rsid w:val="009F3B8C"/>
    <w:rsid w:val="009F6889"/>
    <w:rsid w:val="009F7233"/>
    <w:rsid w:val="00A01606"/>
    <w:rsid w:val="00A0340A"/>
    <w:rsid w:val="00A1499D"/>
    <w:rsid w:val="00A25C70"/>
    <w:rsid w:val="00A3135D"/>
    <w:rsid w:val="00A4282E"/>
    <w:rsid w:val="00A46566"/>
    <w:rsid w:val="00A51C32"/>
    <w:rsid w:val="00A51CE7"/>
    <w:rsid w:val="00A55422"/>
    <w:rsid w:val="00A64090"/>
    <w:rsid w:val="00A76B1B"/>
    <w:rsid w:val="00A825F7"/>
    <w:rsid w:val="00A82F6A"/>
    <w:rsid w:val="00A8544B"/>
    <w:rsid w:val="00A87101"/>
    <w:rsid w:val="00A917D1"/>
    <w:rsid w:val="00A91B87"/>
    <w:rsid w:val="00A950AE"/>
    <w:rsid w:val="00A95A41"/>
    <w:rsid w:val="00AA179B"/>
    <w:rsid w:val="00AA2F58"/>
    <w:rsid w:val="00AA7E46"/>
    <w:rsid w:val="00AB06DE"/>
    <w:rsid w:val="00AB74B8"/>
    <w:rsid w:val="00AE6B0E"/>
    <w:rsid w:val="00AE7EBB"/>
    <w:rsid w:val="00AF0AA3"/>
    <w:rsid w:val="00AF272F"/>
    <w:rsid w:val="00AF2A17"/>
    <w:rsid w:val="00AF3152"/>
    <w:rsid w:val="00AF608D"/>
    <w:rsid w:val="00B003D3"/>
    <w:rsid w:val="00B06A86"/>
    <w:rsid w:val="00B07F31"/>
    <w:rsid w:val="00B10CC2"/>
    <w:rsid w:val="00B11110"/>
    <w:rsid w:val="00B378C1"/>
    <w:rsid w:val="00B40F93"/>
    <w:rsid w:val="00B447E6"/>
    <w:rsid w:val="00B464FA"/>
    <w:rsid w:val="00B46675"/>
    <w:rsid w:val="00B60D30"/>
    <w:rsid w:val="00B618B5"/>
    <w:rsid w:val="00B625DB"/>
    <w:rsid w:val="00B6735F"/>
    <w:rsid w:val="00B76771"/>
    <w:rsid w:val="00B83F82"/>
    <w:rsid w:val="00B93958"/>
    <w:rsid w:val="00B94E41"/>
    <w:rsid w:val="00B955DC"/>
    <w:rsid w:val="00BA289F"/>
    <w:rsid w:val="00BA6ACC"/>
    <w:rsid w:val="00BB36EC"/>
    <w:rsid w:val="00BC0E52"/>
    <w:rsid w:val="00BC2D8E"/>
    <w:rsid w:val="00BE75D1"/>
    <w:rsid w:val="00BF2B1C"/>
    <w:rsid w:val="00BF61DC"/>
    <w:rsid w:val="00C01E1A"/>
    <w:rsid w:val="00C02D66"/>
    <w:rsid w:val="00C2528E"/>
    <w:rsid w:val="00C33B3C"/>
    <w:rsid w:val="00C416B5"/>
    <w:rsid w:val="00C458D7"/>
    <w:rsid w:val="00C522FC"/>
    <w:rsid w:val="00C60578"/>
    <w:rsid w:val="00C63BC5"/>
    <w:rsid w:val="00C66CB8"/>
    <w:rsid w:val="00C72B5E"/>
    <w:rsid w:val="00C748F9"/>
    <w:rsid w:val="00C81923"/>
    <w:rsid w:val="00C820E4"/>
    <w:rsid w:val="00C9082A"/>
    <w:rsid w:val="00C96D40"/>
    <w:rsid w:val="00CB0B25"/>
    <w:rsid w:val="00CB0F26"/>
    <w:rsid w:val="00CB3A1C"/>
    <w:rsid w:val="00CB52F3"/>
    <w:rsid w:val="00CB7834"/>
    <w:rsid w:val="00CC4710"/>
    <w:rsid w:val="00CC5D01"/>
    <w:rsid w:val="00CD090A"/>
    <w:rsid w:val="00CE0198"/>
    <w:rsid w:val="00CE2DB5"/>
    <w:rsid w:val="00CF0424"/>
    <w:rsid w:val="00CF056B"/>
    <w:rsid w:val="00CF0DD4"/>
    <w:rsid w:val="00CF11A4"/>
    <w:rsid w:val="00CF33DE"/>
    <w:rsid w:val="00CF6807"/>
    <w:rsid w:val="00D04CB4"/>
    <w:rsid w:val="00D15B9B"/>
    <w:rsid w:val="00D15F13"/>
    <w:rsid w:val="00D168D0"/>
    <w:rsid w:val="00D17BB8"/>
    <w:rsid w:val="00D20D06"/>
    <w:rsid w:val="00D2405D"/>
    <w:rsid w:val="00D24408"/>
    <w:rsid w:val="00D2514A"/>
    <w:rsid w:val="00D25EBC"/>
    <w:rsid w:val="00D30F84"/>
    <w:rsid w:val="00D33EA8"/>
    <w:rsid w:val="00D4104B"/>
    <w:rsid w:val="00D42640"/>
    <w:rsid w:val="00D52958"/>
    <w:rsid w:val="00D52CA7"/>
    <w:rsid w:val="00D53018"/>
    <w:rsid w:val="00D56744"/>
    <w:rsid w:val="00D5757C"/>
    <w:rsid w:val="00D622FE"/>
    <w:rsid w:val="00D7712E"/>
    <w:rsid w:val="00D774E8"/>
    <w:rsid w:val="00D80574"/>
    <w:rsid w:val="00D808FF"/>
    <w:rsid w:val="00D813BA"/>
    <w:rsid w:val="00D8206C"/>
    <w:rsid w:val="00D8603D"/>
    <w:rsid w:val="00D93243"/>
    <w:rsid w:val="00D934A1"/>
    <w:rsid w:val="00D93820"/>
    <w:rsid w:val="00D942B8"/>
    <w:rsid w:val="00D967E6"/>
    <w:rsid w:val="00DA4326"/>
    <w:rsid w:val="00DB0781"/>
    <w:rsid w:val="00DB16D3"/>
    <w:rsid w:val="00DB3022"/>
    <w:rsid w:val="00DB645E"/>
    <w:rsid w:val="00DC25AB"/>
    <w:rsid w:val="00DD178F"/>
    <w:rsid w:val="00DD7434"/>
    <w:rsid w:val="00DE449B"/>
    <w:rsid w:val="00DE5237"/>
    <w:rsid w:val="00DE5667"/>
    <w:rsid w:val="00DE576E"/>
    <w:rsid w:val="00DF3A55"/>
    <w:rsid w:val="00DF3CD7"/>
    <w:rsid w:val="00DF7D36"/>
    <w:rsid w:val="00E02A73"/>
    <w:rsid w:val="00E0463A"/>
    <w:rsid w:val="00E04706"/>
    <w:rsid w:val="00E04900"/>
    <w:rsid w:val="00E05493"/>
    <w:rsid w:val="00E065D1"/>
    <w:rsid w:val="00E134EF"/>
    <w:rsid w:val="00E155BD"/>
    <w:rsid w:val="00E16EED"/>
    <w:rsid w:val="00E177CE"/>
    <w:rsid w:val="00E17987"/>
    <w:rsid w:val="00E25A6C"/>
    <w:rsid w:val="00E26943"/>
    <w:rsid w:val="00E3097F"/>
    <w:rsid w:val="00E331A6"/>
    <w:rsid w:val="00E40388"/>
    <w:rsid w:val="00E44915"/>
    <w:rsid w:val="00E46B6E"/>
    <w:rsid w:val="00E47178"/>
    <w:rsid w:val="00E5406B"/>
    <w:rsid w:val="00E62952"/>
    <w:rsid w:val="00E6419B"/>
    <w:rsid w:val="00E705C6"/>
    <w:rsid w:val="00E72CFD"/>
    <w:rsid w:val="00E74F4E"/>
    <w:rsid w:val="00E82B98"/>
    <w:rsid w:val="00E86409"/>
    <w:rsid w:val="00E91CF4"/>
    <w:rsid w:val="00EA080F"/>
    <w:rsid w:val="00EA76AB"/>
    <w:rsid w:val="00EB013D"/>
    <w:rsid w:val="00EB5841"/>
    <w:rsid w:val="00EC45EC"/>
    <w:rsid w:val="00EC5170"/>
    <w:rsid w:val="00ED1595"/>
    <w:rsid w:val="00ED567A"/>
    <w:rsid w:val="00EE398C"/>
    <w:rsid w:val="00EE4B30"/>
    <w:rsid w:val="00EF029C"/>
    <w:rsid w:val="00EF55F4"/>
    <w:rsid w:val="00EF5734"/>
    <w:rsid w:val="00EF6C5A"/>
    <w:rsid w:val="00F02E94"/>
    <w:rsid w:val="00F03EED"/>
    <w:rsid w:val="00F12B52"/>
    <w:rsid w:val="00F13600"/>
    <w:rsid w:val="00F22298"/>
    <w:rsid w:val="00F22FE2"/>
    <w:rsid w:val="00F242DF"/>
    <w:rsid w:val="00F4338A"/>
    <w:rsid w:val="00F47654"/>
    <w:rsid w:val="00F52C4D"/>
    <w:rsid w:val="00F538D3"/>
    <w:rsid w:val="00F63DAD"/>
    <w:rsid w:val="00F640DC"/>
    <w:rsid w:val="00F6689C"/>
    <w:rsid w:val="00F67FF7"/>
    <w:rsid w:val="00F77026"/>
    <w:rsid w:val="00F80C4A"/>
    <w:rsid w:val="00F8441B"/>
    <w:rsid w:val="00F87032"/>
    <w:rsid w:val="00F87BCF"/>
    <w:rsid w:val="00F9049B"/>
    <w:rsid w:val="00F91B4B"/>
    <w:rsid w:val="00F95DA5"/>
    <w:rsid w:val="00FA21D4"/>
    <w:rsid w:val="00FA36BF"/>
    <w:rsid w:val="00FA7B9E"/>
    <w:rsid w:val="00FB5138"/>
    <w:rsid w:val="00FD25B4"/>
    <w:rsid w:val="00FD3D67"/>
    <w:rsid w:val="00FD560B"/>
    <w:rsid w:val="00FD7870"/>
    <w:rsid w:val="00FD7D0F"/>
    <w:rsid w:val="00FE031A"/>
    <w:rsid w:val="00FE3B87"/>
    <w:rsid w:val="00FE517F"/>
    <w:rsid w:val="00FE5F0B"/>
    <w:rsid w:val="00FF0342"/>
    <w:rsid w:val="00FF2BB3"/>
    <w:rsid w:val="00FF6A6A"/>
    <w:rsid w:val="00FF73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80384B"/>
  <w15:docId w15:val="{A86CFD5B-5005-4934-9D22-D02586339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40"/>
      <w:outlineLvl w:val="1"/>
    </w:pPr>
    <w:rPr>
      <w:rFonts w:ascii="Helvetica Neue" w:eastAsia="Helvetica Neue" w:hAnsi="Helvetica Neue" w:cs="Helvetica Neue"/>
      <w:color w:val="2E75B5"/>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0513FC"/>
    <w:pPr>
      <w:spacing w:before="100" w:beforeAutospacing="1" w:after="100" w:afterAutospacing="1"/>
      <w:jc w:val="left"/>
    </w:pPr>
  </w:style>
  <w:style w:type="paragraph" w:styleId="Prrafodelista">
    <w:name w:val="List Paragraph"/>
    <w:basedOn w:val="Normal"/>
    <w:uiPriority w:val="34"/>
    <w:qFormat/>
    <w:rsid w:val="00943285"/>
    <w:pPr>
      <w:ind w:left="720"/>
      <w:contextualSpacing/>
    </w:pPr>
  </w:style>
  <w:style w:type="character" w:styleId="Hipervnculo">
    <w:name w:val="Hyperlink"/>
    <w:basedOn w:val="Fuentedeprrafopredeter"/>
    <w:uiPriority w:val="99"/>
    <w:unhideWhenUsed/>
    <w:rsid w:val="002E712F"/>
    <w:rPr>
      <w:color w:val="0000FF" w:themeColor="hyperlink"/>
      <w:u w:val="single"/>
    </w:rPr>
  </w:style>
  <w:style w:type="character" w:styleId="Mencinsinresolver">
    <w:name w:val="Unresolved Mention"/>
    <w:basedOn w:val="Fuentedeprrafopredeter"/>
    <w:uiPriority w:val="99"/>
    <w:semiHidden/>
    <w:unhideWhenUsed/>
    <w:rsid w:val="002E712F"/>
    <w:rPr>
      <w:color w:val="605E5C"/>
      <w:shd w:val="clear" w:color="auto" w:fill="E1DFDD"/>
    </w:rPr>
  </w:style>
  <w:style w:type="character" w:styleId="Hipervnculovisitado">
    <w:name w:val="FollowedHyperlink"/>
    <w:basedOn w:val="Fuentedeprrafopredeter"/>
    <w:uiPriority w:val="99"/>
    <w:semiHidden/>
    <w:unhideWhenUsed/>
    <w:rsid w:val="00567E49"/>
    <w:rPr>
      <w:color w:val="800080" w:themeColor="followedHyperlink"/>
      <w:u w:val="single"/>
    </w:rPr>
  </w:style>
  <w:style w:type="paragraph" w:styleId="Encabezado">
    <w:name w:val="header"/>
    <w:basedOn w:val="Normal"/>
    <w:link w:val="EncabezadoCar"/>
    <w:uiPriority w:val="99"/>
    <w:semiHidden/>
    <w:unhideWhenUsed/>
    <w:rsid w:val="00B9238E"/>
    <w:pPr>
      <w:tabs>
        <w:tab w:val="center" w:pos="4252"/>
        <w:tab w:val="right" w:pos="8504"/>
      </w:tabs>
    </w:pPr>
  </w:style>
  <w:style w:type="character" w:customStyle="1" w:styleId="EncabezadoCar">
    <w:name w:val="Encabezado Car"/>
    <w:basedOn w:val="Fuentedeprrafopredeter"/>
    <w:link w:val="Encabezado"/>
    <w:uiPriority w:val="99"/>
    <w:semiHidden/>
    <w:rsid w:val="00B9238E"/>
  </w:style>
  <w:style w:type="paragraph" w:styleId="Piedepgina">
    <w:name w:val="footer"/>
    <w:basedOn w:val="Normal"/>
    <w:link w:val="PiedepginaCar"/>
    <w:uiPriority w:val="99"/>
    <w:semiHidden/>
    <w:unhideWhenUsed/>
    <w:rsid w:val="00B9238E"/>
    <w:pPr>
      <w:tabs>
        <w:tab w:val="center" w:pos="4252"/>
        <w:tab w:val="right" w:pos="8504"/>
      </w:tabs>
    </w:pPr>
  </w:style>
  <w:style w:type="character" w:customStyle="1" w:styleId="PiedepginaCar">
    <w:name w:val="Pie de página Car"/>
    <w:basedOn w:val="Fuentedeprrafopredeter"/>
    <w:link w:val="Piedepgina"/>
    <w:uiPriority w:val="99"/>
    <w:semiHidden/>
    <w:rsid w:val="00B9238E"/>
  </w:style>
  <w:style w:type="paragraph" w:styleId="Textonotaalfinal">
    <w:name w:val="endnote text"/>
    <w:basedOn w:val="Normal"/>
    <w:link w:val="TextonotaalfinalCar"/>
    <w:uiPriority w:val="99"/>
    <w:semiHidden/>
    <w:unhideWhenUsed/>
    <w:rsid w:val="00DA00EB"/>
    <w:rPr>
      <w:sz w:val="20"/>
      <w:szCs w:val="20"/>
    </w:rPr>
  </w:style>
  <w:style w:type="character" w:customStyle="1" w:styleId="TextonotaalfinalCar">
    <w:name w:val="Texto nota al final Car"/>
    <w:basedOn w:val="Fuentedeprrafopredeter"/>
    <w:link w:val="Textonotaalfinal"/>
    <w:uiPriority w:val="99"/>
    <w:semiHidden/>
    <w:rsid w:val="00DA00EB"/>
    <w:rPr>
      <w:sz w:val="20"/>
      <w:szCs w:val="20"/>
    </w:rPr>
  </w:style>
  <w:style w:type="character" w:styleId="Refdenotaalfinal">
    <w:name w:val="endnote reference"/>
    <w:basedOn w:val="Fuentedeprrafopredeter"/>
    <w:uiPriority w:val="99"/>
    <w:semiHidden/>
    <w:unhideWhenUsed/>
    <w:rsid w:val="00DA00EB"/>
    <w:rPr>
      <w:vertAlign w:val="superscript"/>
    </w:rPr>
  </w:style>
  <w:style w:type="paragraph" w:styleId="Textoindependiente">
    <w:name w:val="Body Text"/>
    <w:basedOn w:val="Normal"/>
    <w:link w:val="TextoindependienteCar"/>
    <w:uiPriority w:val="99"/>
    <w:semiHidden/>
    <w:unhideWhenUsed/>
    <w:rsid w:val="000D69F9"/>
    <w:pPr>
      <w:spacing w:after="120"/>
    </w:pPr>
  </w:style>
  <w:style w:type="character" w:customStyle="1" w:styleId="TextoindependienteCar">
    <w:name w:val="Texto independiente Car"/>
    <w:basedOn w:val="Fuentedeprrafopredeter"/>
    <w:link w:val="Textoindependiente"/>
    <w:uiPriority w:val="99"/>
    <w:semiHidden/>
    <w:rsid w:val="000D69F9"/>
  </w:style>
  <w:style w:type="table" w:styleId="Tablaconcuadrcula">
    <w:name w:val="Table Grid"/>
    <w:basedOn w:val="Tablanormal"/>
    <w:uiPriority w:val="39"/>
    <w:rsid w:val="009933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Vietas">
    <w:name w:val="Viñetas"/>
    <w:rsid w:val="00C4095F"/>
  </w:style>
  <w:style w:type="character" w:styleId="Refdecomentario">
    <w:name w:val="annotation reference"/>
    <w:basedOn w:val="Fuentedeprrafopredeter"/>
    <w:uiPriority w:val="99"/>
    <w:semiHidden/>
    <w:unhideWhenUsed/>
    <w:rsid w:val="00442BE9"/>
    <w:rPr>
      <w:sz w:val="16"/>
      <w:szCs w:val="16"/>
    </w:rPr>
  </w:style>
  <w:style w:type="paragraph" w:styleId="Textocomentario">
    <w:name w:val="annotation text"/>
    <w:basedOn w:val="Normal"/>
    <w:link w:val="TextocomentarioCar"/>
    <w:uiPriority w:val="99"/>
    <w:unhideWhenUsed/>
    <w:rsid w:val="00442BE9"/>
    <w:rPr>
      <w:sz w:val="20"/>
      <w:szCs w:val="20"/>
    </w:rPr>
  </w:style>
  <w:style w:type="character" w:customStyle="1" w:styleId="TextocomentarioCar">
    <w:name w:val="Texto comentario Car"/>
    <w:basedOn w:val="Fuentedeprrafopredeter"/>
    <w:link w:val="Textocomentario"/>
    <w:uiPriority w:val="99"/>
    <w:rsid w:val="00442BE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gabinete.prensa@cabildofuer.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C7iEJfnSWrybZrOHCxIvrxvOoA==">CgMxLjA4AGooChRzdWdnZXN0LjY1ZGw0b2hjNndtdxIQVmVyw7NuaWNhIFDDqXJlemooChRzdWdnZXN0LnMwNjB5NnF1OGd1MxIQVmVyw7NuaWNhIFDDqXJlemooChRzdWdnZXN0LmV3MGh6YmRpbnhtcRIQVmVyw7NuaWNhIFDDqXJlenIhMWU0VUh1RmItYU1xaUczTXpxTTVYak16SVRTejJ3blVF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1E1D4D8-4DD0-46AE-A703-508CB72E2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363</Words>
  <Characters>1997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MetroFV2</dc:creator>
  <cp:lastModifiedBy>LZ6</cp:lastModifiedBy>
  <cp:revision>7</cp:revision>
  <cp:lastPrinted>2025-10-27T08:12:00Z</cp:lastPrinted>
  <dcterms:created xsi:type="dcterms:W3CDTF">2025-10-23T13:12:00Z</dcterms:created>
  <dcterms:modified xsi:type="dcterms:W3CDTF">2025-10-27T08:43:00Z</dcterms:modified>
</cp:coreProperties>
</file>